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BE400A" w:rsidRDefault="00BE400A" w:rsidP="00BE400A">
      <w:pPr>
        <w:tabs>
          <w:tab w:val="left" w:pos="985"/>
        </w:tabs>
        <w:ind w:right="152"/>
        <w:jc w:val="right"/>
        <w:rPr>
          <w:sz w:val="26"/>
        </w:rPr>
      </w:pPr>
      <w:bookmarkStart w:id="0" w:name="_GoBack"/>
      <w:bookmarkEnd w:id="0"/>
    </w:p>
    <w:p w:rsidR="00BE400A" w:rsidRDefault="00BE400A" w:rsidP="00BE400A">
      <w:pPr>
        <w:tabs>
          <w:tab w:val="left" w:pos="985"/>
        </w:tabs>
        <w:ind w:right="152"/>
        <w:jc w:val="right"/>
        <w:rPr>
          <w:sz w:val="26"/>
        </w:rPr>
      </w:pPr>
      <w:r>
        <w:rPr>
          <w:sz w:val="26"/>
        </w:rPr>
        <w:t xml:space="preserve">Социально-психологическая служба </w:t>
      </w:r>
    </w:p>
    <w:p w:rsidR="00BE400A" w:rsidRDefault="00BE400A" w:rsidP="00BE400A">
      <w:pPr>
        <w:tabs>
          <w:tab w:val="left" w:pos="985"/>
        </w:tabs>
        <w:ind w:right="152"/>
        <w:jc w:val="right"/>
        <w:rPr>
          <w:sz w:val="26"/>
        </w:rPr>
      </w:pPr>
      <w:proofErr w:type="spellStart"/>
      <w:r>
        <w:rPr>
          <w:sz w:val="26"/>
        </w:rPr>
        <w:t>Шахбанова</w:t>
      </w:r>
      <w:proofErr w:type="spellEnd"/>
      <w:r>
        <w:rPr>
          <w:sz w:val="26"/>
        </w:rPr>
        <w:t xml:space="preserve"> З.Б</w:t>
      </w:r>
    </w:p>
    <w:p w:rsidR="00BE400A" w:rsidRDefault="00BE400A" w:rsidP="00BE400A">
      <w:pPr>
        <w:tabs>
          <w:tab w:val="left" w:pos="985"/>
        </w:tabs>
        <w:ind w:right="152"/>
        <w:jc w:val="right"/>
        <w:rPr>
          <w:sz w:val="26"/>
        </w:rPr>
      </w:pPr>
      <w:proofErr w:type="spellStart"/>
      <w:r>
        <w:rPr>
          <w:sz w:val="26"/>
        </w:rPr>
        <w:t>Хабилова</w:t>
      </w:r>
      <w:proofErr w:type="spellEnd"/>
      <w:r>
        <w:rPr>
          <w:sz w:val="26"/>
        </w:rPr>
        <w:t xml:space="preserve"> З.А-А.</w:t>
      </w:r>
    </w:p>
    <w:p w:rsidR="00EE7987" w:rsidRDefault="00BE400A" w:rsidP="00BE400A">
      <w:r>
        <w:rPr>
          <w:sz w:val="5"/>
          <w:lang w:eastAsia="en-US"/>
        </w:rPr>
      </w:r>
      <w:r>
        <w:rPr>
          <w:sz w:val="5"/>
        </w:rPr>
        <w:pict>
          <v:group id="docshapegroup316" o:spid="_x0000_s1026" style="width:2.45pt;height:2.65pt;mso-position-horizontal-relative:char;mso-position-vertical-relative:line" coordsize="49,53">
            <v:shape id="docshape317" o:spid="_x0000_s1027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sectPr w:rsidR="00EE7987" w:rsidSect="001B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CF5"/>
    <w:rsid w:val="001B047E"/>
    <w:rsid w:val="00536BDC"/>
    <w:rsid w:val="00594CEC"/>
    <w:rsid w:val="00667522"/>
    <w:rsid w:val="00703F0C"/>
    <w:rsid w:val="00BE400A"/>
    <w:rsid w:val="00E42CF5"/>
    <w:rsid w:val="00EE7987"/>
    <w:rsid w:val="00F2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9</cp:revision>
  <cp:lastPrinted>2015-03-19T04:44:00Z</cp:lastPrinted>
  <dcterms:created xsi:type="dcterms:W3CDTF">2015-03-18T05:24:00Z</dcterms:created>
  <dcterms:modified xsi:type="dcterms:W3CDTF">2021-11-19T20:26:00Z</dcterms:modified>
</cp:coreProperties>
</file>